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4B093" w14:textId="77777777" w:rsidR="000750E1" w:rsidRDefault="000750E1" w:rsidP="000750E1">
      <w:pPr>
        <w:keepNext/>
        <w:spacing w:line="240" w:lineRule="auto"/>
        <w:rPr>
          <w:rFonts w:eastAsia="Times New Roman"/>
          <w:iCs/>
          <w:color w:val="auto"/>
          <w:sz w:val="22"/>
          <w:szCs w:val="18"/>
          <w:u w:val="single"/>
          <w:lang w:val="en-AU"/>
        </w:rPr>
      </w:pPr>
      <w:r w:rsidRPr="00BA7249">
        <w:rPr>
          <w:rFonts w:eastAsia="Times New Roman"/>
          <w:iCs/>
          <w:color w:val="auto"/>
          <w:sz w:val="22"/>
          <w:szCs w:val="18"/>
          <w:u w:val="single"/>
          <w:lang w:val="en-AU"/>
        </w:rPr>
        <w:t>Supplementary table</w:t>
      </w:r>
      <w:r>
        <w:rPr>
          <w:rFonts w:eastAsia="Times New Roman"/>
          <w:iCs/>
          <w:color w:val="auto"/>
          <w:sz w:val="22"/>
          <w:szCs w:val="18"/>
          <w:u w:val="single"/>
          <w:lang w:val="en-AU"/>
        </w:rPr>
        <w:t>s.</w:t>
      </w:r>
    </w:p>
    <w:p w14:paraId="2BB69C7E" w14:textId="77777777" w:rsidR="000750E1" w:rsidRDefault="000750E1" w:rsidP="000750E1"/>
    <w:p w14:paraId="179E643E" w14:textId="77777777" w:rsidR="000750E1" w:rsidRDefault="000750E1" w:rsidP="000750E1">
      <w:r>
        <w:t xml:space="preserve">Figure 1. MRI hand protocols for TASOAC study. </w:t>
      </w:r>
    </w:p>
    <w:p w14:paraId="32786987" w14:textId="77777777" w:rsidR="000750E1" w:rsidRDefault="000750E1" w:rsidP="000750E1">
      <w:r>
        <w:rPr>
          <w:noProof/>
          <w:lang w:eastAsia="en-AU"/>
        </w:rPr>
        <w:drawing>
          <wp:inline distT="0" distB="0" distL="0" distR="0" wp14:anchorId="633438B3" wp14:editId="65701CB1">
            <wp:extent cx="5731510" cy="6599921"/>
            <wp:effectExtent l="0" t="0" r="2540" b="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9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53310" w14:textId="77777777" w:rsidR="000750E1" w:rsidRDefault="000750E1" w:rsidP="000750E1">
      <w:r>
        <w:rPr>
          <w:noProof/>
          <w:lang w:eastAsia="en-AU"/>
        </w:rPr>
        <w:lastRenderedPageBreak/>
        <w:drawing>
          <wp:inline distT="0" distB="0" distL="0" distR="0" wp14:anchorId="1909A133" wp14:editId="2179CE69">
            <wp:extent cx="5731510" cy="6599921"/>
            <wp:effectExtent l="0" t="0" r="2540" b="0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9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4D08B" w14:textId="77777777" w:rsidR="000750E1" w:rsidRDefault="000750E1" w:rsidP="000750E1">
      <w:r>
        <w:rPr>
          <w:noProof/>
          <w:lang w:eastAsia="en-AU"/>
        </w:rPr>
        <w:lastRenderedPageBreak/>
        <w:drawing>
          <wp:inline distT="0" distB="0" distL="0" distR="0" wp14:anchorId="58F0646A" wp14:editId="19492149">
            <wp:extent cx="5731510" cy="6599921"/>
            <wp:effectExtent l="0" t="0" r="2540" b="0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9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13544" w14:textId="77777777" w:rsidR="000750E1" w:rsidRDefault="000750E1" w:rsidP="000750E1">
      <w:r>
        <w:rPr>
          <w:noProof/>
          <w:lang w:eastAsia="en-AU"/>
        </w:rPr>
        <w:lastRenderedPageBreak/>
        <w:drawing>
          <wp:inline distT="0" distB="0" distL="0" distR="0" wp14:anchorId="258E9AC7" wp14:editId="6AD4930A">
            <wp:extent cx="5731510" cy="7303333"/>
            <wp:effectExtent l="0" t="0" r="2540" b="0"/>
            <wp:docPr id="6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0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56A91" w14:textId="77777777" w:rsidR="000750E1" w:rsidRDefault="000750E1" w:rsidP="000750E1">
      <w:r>
        <w:rPr>
          <w:noProof/>
          <w:lang w:eastAsia="en-AU"/>
        </w:rPr>
        <w:lastRenderedPageBreak/>
        <w:drawing>
          <wp:inline distT="0" distB="0" distL="0" distR="0" wp14:anchorId="7819E329" wp14:editId="142C97E7">
            <wp:extent cx="5731510" cy="6556500"/>
            <wp:effectExtent l="0" t="0" r="2540" b="0"/>
            <wp:docPr id="7" name="Picture 7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5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5EFB3" w14:textId="77777777" w:rsidR="000750E1" w:rsidRDefault="000750E1" w:rsidP="000750E1"/>
    <w:p w14:paraId="6DA99A9D" w14:textId="77777777" w:rsidR="000750E1" w:rsidRDefault="000750E1" w:rsidP="000750E1">
      <w:pPr>
        <w:keepNext/>
        <w:spacing w:line="240" w:lineRule="auto"/>
        <w:rPr>
          <w:rFonts w:eastAsia="Times New Roman"/>
          <w:iCs/>
          <w:color w:val="auto"/>
          <w:sz w:val="22"/>
          <w:szCs w:val="18"/>
          <w:u w:val="single"/>
          <w:lang w:val="en-AU"/>
        </w:rPr>
      </w:pPr>
    </w:p>
    <w:p w14:paraId="1E9D6B27" w14:textId="77777777" w:rsidR="000750E1" w:rsidRPr="000750E1" w:rsidRDefault="000750E1" w:rsidP="000750E1">
      <w:pPr>
        <w:keepNext/>
        <w:spacing w:line="240" w:lineRule="auto"/>
        <w:rPr>
          <w:rFonts w:eastAsia="Times New Roman"/>
          <w:iCs/>
          <w:color w:val="auto"/>
          <w:u w:val="single"/>
        </w:rPr>
      </w:pPr>
      <w:r w:rsidRPr="000750E1">
        <w:rPr>
          <w:rFonts w:eastAsia="Times New Roman"/>
          <w:iCs/>
          <w:color w:val="auto"/>
          <w:u w:val="single"/>
        </w:rPr>
        <w:t>Table 1. Intra-</w:t>
      </w:r>
      <w:proofErr w:type="spellStart"/>
      <w:r w:rsidRPr="000750E1">
        <w:rPr>
          <w:rFonts w:eastAsia="Times New Roman"/>
          <w:iCs/>
          <w:color w:val="auto"/>
          <w:u w:val="single"/>
        </w:rPr>
        <w:t>rater</w:t>
      </w:r>
      <w:proofErr w:type="spellEnd"/>
      <w:r w:rsidRPr="000750E1">
        <w:rPr>
          <w:rFonts w:eastAsia="Times New Roman"/>
          <w:iCs/>
          <w:color w:val="auto"/>
          <w:u w:val="single"/>
        </w:rPr>
        <w:t xml:space="preserve"> reliability test for hand MRI abnormalities (n=40).</w:t>
      </w:r>
    </w:p>
    <w:tbl>
      <w:tblPr>
        <w:tblW w:w="7083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681"/>
        <w:gridCol w:w="850"/>
        <w:gridCol w:w="2552"/>
      </w:tblGrid>
      <w:tr w:rsidR="000750E1" w:rsidRPr="000750E1" w14:paraId="1DF9FB55" w14:textId="77777777" w:rsidTr="006D250D">
        <w:trPr>
          <w:trHeight w:val="640"/>
        </w:trPr>
        <w:tc>
          <w:tcPr>
            <w:tcW w:w="368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8248339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u w:val="single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u w:val="single"/>
                <w:lang w:val="en-AU"/>
              </w:rPr>
              <w:t xml:space="preserve">Abnormalities 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CAE332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u w:val="single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u w:val="single"/>
                <w:lang w:val="en-AU"/>
              </w:rPr>
              <w:t>Joint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7AC590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u w:val="single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u w:val="single"/>
                <w:lang w:val="en-AU"/>
              </w:rPr>
              <w:t>Kappa value *</w:t>
            </w:r>
          </w:p>
        </w:tc>
      </w:tr>
      <w:tr w:rsidR="000750E1" w:rsidRPr="000750E1" w14:paraId="7D6B66B7" w14:textId="77777777" w:rsidTr="006D250D">
        <w:trPr>
          <w:trHeight w:val="320"/>
        </w:trPr>
        <w:tc>
          <w:tcPr>
            <w:tcW w:w="3681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14:paraId="1A2BB370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Effusion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8F9513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DIP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56B506" w14:textId="11C4D150" w:rsidR="000750E1" w:rsidRPr="000750E1" w:rsidRDefault="00C0732B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>
              <w:rPr>
                <w:rFonts w:eastAsia="Times New Roman"/>
                <w:iCs/>
                <w:color w:val="auto"/>
                <w:lang w:val="en-AU"/>
              </w:rPr>
              <w:t>Can</w:t>
            </w:r>
            <w:r w:rsidR="000750E1" w:rsidRPr="000750E1">
              <w:rPr>
                <w:rFonts w:eastAsia="Times New Roman"/>
                <w:iCs/>
                <w:color w:val="auto"/>
                <w:lang w:val="en-AU"/>
              </w:rPr>
              <w:t>not</w:t>
            </w:r>
            <w:r>
              <w:rPr>
                <w:rFonts w:eastAsia="Times New Roman"/>
                <w:iCs/>
                <w:color w:val="auto"/>
                <w:lang w:val="en-AU"/>
              </w:rPr>
              <w:t xml:space="preserve"> be</w:t>
            </w:r>
            <w:r w:rsidR="000750E1" w:rsidRPr="000750E1">
              <w:rPr>
                <w:rFonts w:eastAsia="Times New Roman"/>
                <w:iCs/>
                <w:color w:val="auto"/>
                <w:lang w:val="en-AU"/>
              </w:rPr>
              <w:t xml:space="preserve"> determined</w:t>
            </w:r>
          </w:p>
        </w:tc>
      </w:tr>
      <w:tr w:rsidR="000750E1" w:rsidRPr="000750E1" w14:paraId="38E0C627" w14:textId="77777777" w:rsidTr="006D250D">
        <w:trPr>
          <w:trHeight w:val="320"/>
        </w:trPr>
        <w:tc>
          <w:tcPr>
            <w:tcW w:w="3681" w:type="dxa"/>
            <w:shd w:val="clear" w:color="auto" w:fill="auto"/>
            <w:vAlign w:val="bottom"/>
            <w:hideMark/>
          </w:tcPr>
          <w:p w14:paraId="1C507BE2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6AD5B40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PIP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3929166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0.625 (0.243, 1.00)</w:t>
            </w:r>
          </w:p>
        </w:tc>
      </w:tr>
      <w:tr w:rsidR="000750E1" w:rsidRPr="000750E1" w14:paraId="0CF5CDB0" w14:textId="77777777" w:rsidTr="006D250D">
        <w:trPr>
          <w:trHeight w:val="519"/>
        </w:trPr>
        <w:tc>
          <w:tcPr>
            <w:tcW w:w="3681" w:type="dxa"/>
            <w:shd w:val="clear" w:color="auto" w:fill="auto"/>
            <w:vAlign w:val="bottom"/>
            <w:hideMark/>
          </w:tcPr>
          <w:p w14:paraId="221EA6AE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 xml:space="preserve">Absence of collateral ligament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CED12E4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DIP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DFA78B6" w14:textId="5F757ACD" w:rsidR="000750E1" w:rsidRPr="000750E1" w:rsidRDefault="00C0732B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>
              <w:rPr>
                <w:rFonts w:eastAsia="Times New Roman"/>
                <w:iCs/>
                <w:color w:val="auto"/>
                <w:lang w:val="en-AU"/>
              </w:rPr>
              <w:t>Can</w:t>
            </w:r>
            <w:r w:rsidRPr="000750E1">
              <w:rPr>
                <w:rFonts w:eastAsia="Times New Roman"/>
                <w:iCs/>
                <w:color w:val="auto"/>
                <w:lang w:val="en-AU"/>
              </w:rPr>
              <w:t>not</w:t>
            </w:r>
            <w:r>
              <w:rPr>
                <w:rFonts w:eastAsia="Times New Roman"/>
                <w:iCs/>
                <w:color w:val="auto"/>
                <w:lang w:val="en-AU"/>
              </w:rPr>
              <w:t xml:space="preserve"> be</w:t>
            </w:r>
            <w:r w:rsidRPr="000750E1">
              <w:rPr>
                <w:rFonts w:eastAsia="Times New Roman"/>
                <w:iCs/>
                <w:color w:val="auto"/>
                <w:lang w:val="en-AU"/>
              </w:rPr>
              <w:t xml:space="preserve"> determined</w:t>
            </w:r>
          </w:p>
        </w:tc>
      </w:tr>
      <w:tr w:rsidR="000750E1" w:rsidRPr="000750E1" w14:paraId="089359EF" w14:textId="77777777" w:rsidTr="006D250D">
        <w:trPr>
          <w:trHeight w:val="320"/>
        </w:trPr>
        <w:tc>
          <w:tcPr>
            <w:tcW w:w="3681" w:type="dxa"/>
            <w:shd w:val="clear" w:color="auto" w:fill="auto"/>
            <w:vAlign w:val="bottom"/>
            <w:hideMark/>
          </w:tcPr>
          <w:p w14:paraId="4CE09E3F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023B166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PIP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4598014" w14:textId="29151E23" w:rsidR="000750E1" w:rsidRPr="000750E1" w:rsidRDefault="00C0732B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>
              <w:rPr>
                <w:rFonts w:eastAsia="Times New Roman"/>
                <w:iCs/>
                <w:color w:val="auto"/>
                <w:lang w:val="en-AU"/>
              </w:rPr>
              <w:t>Can</w:t>
            </w:r>
            <w:r w:rsidRPr="000750E1">
              <w:rPr>
                <w:rFonts w:eastAsia="Times New Roman"/>
                <w:iCs/>
                <w:color w:val="auto"/>
                <w:lang w:val="en-AU"/>
              </w:rPr>
              <w:t>not</w:t>
            </w:r>
            <w:r>
              <w:rPr>
                <w:rFonts w:eastAsia="Times New Roman"/>
                <w:iCs/>
                <w:color w:val="auto"/>
                <w:lang w:val="en-AU"/>
              </w:rPr>
              <w:t xml:space="preserve"> be</w:t>
            </w:r>
            <w:r w:rsidRPr="000750E1">
              <w:rPr>
                <w:rFonts w:eastAsia="Times New Roman"/>
                <w:iCs/>
                <w:color w:val="auto"/>
                <w:lang w:val="en-AU"/>
              </w:rPr>
              <w:t xml:space="preserve"> determined</w:t>
            </w:r>
          </w:p>
        </w:tc>
      </w:tr>
      <w:tr w:rsidR="000750E1" w:rsidRPr="000750E1" w14:paraId="6B432BCC" w14:textId="77777777" w:rsidTr="006D250D">
        <w:trPr>
          <w:trHeight w:val="353"/>
        </w:trPr>
        <w:tc>
          <w:tcPr>
            <w:tcW w:w="3681" w:type="dxa"/>
            <w:shd w:val="clear" w:color="auto" w:fill="auto"/>
            <w:vAlign w:val="bottom"/>
            <w:hideMark/>
          </w:tcPr>
          <w:p w14:paraId="17EDD110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Bone marrow lesion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79FEDF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DIP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833835B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0.884 (0.468, 0.891)</w:t>
            </w:r>
          </w:p>
        </w:tc>
      </w:tr>
      <w:tr w:rsidR="000750E1" w:rsidRPr="000750E1" w14:paraId="6624807A" w14:textId="77777777" w:rsidTr="006D250D">
        <w:trPr>
          <w:trHeight w:val="320"/>
        </w:trPr>
        <w:tc>
          <w:tcPr>
            <w:tcW w:w="3681" w:type="dxa"/>
            <w:shd w:val="clear" w:color="auto" w:fill="auto"/>
            <w:vAlign w:val="bottom"/>
            <w:hideMark/>
          </w:tcPr>
          <w:p w14:paraId="0AF42720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38DAD66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PIP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D41F36C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0.788 (0.468, 0.891)</w:t>
            </w:r>
          </w:p>
        </w:tc>
      </w:tr>
      <w:tr w:rsidR="000750E1" w:rsidRPr="000750E1" w14:paraId="313D1BC9" w14:textId="77777777" w:rsidTr="006D250D">
        <w:trPr>
          <w:trHeight w:val="320"/>
        </w:trPr>
        <w:tc>
          <w:tcPr>
            <w:tcW w:w="3681" w:type="dxa"/>
            <w:shd w:val="clear" w:color="auto" w:fill="auto"/>
            <w:vAlign w:val="bottom"/>
            <w:hideMark/>
          </w:tcPr>
          <w:p w14:paraId="2161A71B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Erosion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548808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DIP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7F370D9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0.644 (0.556, 0.76)</w:t>
            </w:r>
          </w:p>
        </w:tc>
      </w:tr>
      <w:tr w:rsidR="000750E1" w:rsidRPr="000750E1" w14:paraId="3787B6B2" w14:textId="77777777" w:rsidTr="006D250D">
        <w:trPr>
          <w:trHeight w:val="320"/>
        </w:trPr>
        <w:tc>
          <w:tcPr>
            <w:tcW w:w="3681" w:type="dxa"/>
            <w:shd w:val="clear" w:color="auto" w:fill="auto"/>
            <w:vAlign w:val="bottom"/>
            <w:hideMark/>
          </w:tcPr>
          <w:p w14:paraId="105FB787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31070C9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PIP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8C3B871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0.510 (0.266, 0.623)</w:t>
            </w:r>
          </w:p>
        </w:tc>
      </w:tr>
      <w:tr w:rsidR="000750E1" w:rsidRPr="000750E1" w14:paraId="7F1F3536" w14:textId="77777777" w:rsidTr="006D250D">
        <w:trPr>
          <w:trHeight w:val="273"/>
        </w:trPr>
        <w:tc>
          <w:tcPr>
            <w:tcW w:w="3681" w:type="dxa"/>
            <w:shd w:val="clear" w:color="auto" w:fill="auto"/>
            <w:vAlign w:val="bottom"/>
            <w:hideMark/>
          </w:tcPr>
          <w:p w14:paraId="6C7896DD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Osteophytes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409212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DIP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D30AB0E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0.741 (0.554, 0.823)</w:t>
            </w:r>
          </w:p>
        </w:tc>
      </w:tr>
      <w:tr w:rsidR="000750E1" w:rsidRPr="000750E1" w14:paraId="7BD67539" w14:textId="77777777" w:rsidTr="006D250D">
        <w:trPr>
          <w:trHeight w:val="320"/>
        </w:trPr>
        <w:tc>
          <w:tcPr>
            <w:tcW w:w="3681" w:type="dxa"/>
            <w:shd w:val="clear" w:color="auto" w:fill="auto"/>
            <w:vAlign w:val="bottom"/>
            <w:hideMark/>
          </w:tcPr>
          <w:p w14:paraId="6B496601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DB2B45" w14:textId="77777777" w:rsidR="000750E1" w:rsidRPr="000750E1" w:rsidRDefault="000750E1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 w:rsidRPr="000750E1">
              <w:rPr>
                <w:rFonts w:eastAsia="Times New Roman"/>
                <w:iCs/>
                <w:color w:val="auto"/>
                <w:lang w:val="en-AU"/>
              </w:rPr>
              <w:t>PIP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8180075" w14:textId="58A0DA8B" w:rsidR="000750E1" w:rsidRPr="000750E1" w:rsidRDefault="00C0732B" w:rsidP="006D250D">
            <w:pPr>
              <w:keepNext/>
              <w:spacing w:line="240" w:lineRule="auto"/>
              <w:rPr>
                <w:rFonts w:eastAsia="Times New Roman"/>
                <w:iCs/>
                <w:color w:val="auto"/>
                <w:lang w:val="en-AU"/>
              </w:rPr>
            </w:pPr>
            <w:r>
              <w:rPr>
                <w:rFonts w:eastAsia="Times New Roman"/>
                <w:iCs/>
                <w:color w:val="auto"/>
                <w:lang w:val="en-AU"/>
              </w:rPr>
              <w:t>Can</w:t>
            </w:r>
            <w:r w:rsidRPr="000750E1">
              <w:rPr>
                <w:rFonts w:eastAsia="Times New Roman"/>
                <w:iCs/>
                <w:color w:val="auto"/>
                <w:lang w:val="en-AU"/>
              </w:rPr>
              <w:t>not</w:t>
            </w:r>
            <w:r>
              <w:rPr>
                <w:rFonts w:eastAsia="Times New Roman"/>
                <w:iCs/>
                <w:color w:val="auto"/>
                <w:lang w:val="en-AU"/>
              </w:rPr>
              <w:t xml:space="preserve"> be</w:t>
            </w:r>
            <w:r w:rsidRPr="000750E1">
              <w:rPr>
                <w:rFonts w:eastAsia="Times New Roman"/>
                <w:iCs/>
                <w:color w:val="auto"/>
                <w:lang w:val="en-AU"/>
              </w:rPr>
              <w:t xml:space="preserve"> determined</w:t>
            </w:r>
            <w:bookmarkStart w:id="0" w:name="_GoBack"/>
            <w:bookmarkEnd w:id="0"/>
          </w:p>
        </w:tc>
      </w:tr>
    </w:tbl>
    <w:p w14:paraId="6D5BFB0C" w14:textId="77777777" w:rsidR="000750E1" w:rsidRPr="000750E1" w:rsidRDefault="000750E1" w:rsidP="000750E1">
      <w:pPr>
        <w:keepNext/>
        <w:spacing w:line="240" w:lineRule="auto"/>
        <w:rPr>
          <w:rFonts w:eastAsia="Times New Roman"/>
          <w:iCs/>
          <w:color w:val="auto"/>
        </w:rPr>
      </w:pPr>
      <w:r w:rsidRPr="000750E1">
        <w:rPr>
          <w:rFonts w:eastAsia="Times New Roman"/>
          <w:iCs/>
          <w:color w:val="auto"/>
        </w:rPr>
        <w:t>Kappa value (CI)</w:t>
      </w:r>
    </w:p>
    <w:p w14:paraId="7CBAF890" w14:textId="77777777" w:rsidR="000750E1" w:rsidRPr="000750E1" w:rsidRDefault="000750E1" w:rsidP="000750E1">
      <w:pPr>
        <w:keepNext/>
        <w:spacing w:line="240" w:lineRule="auto"/>
        <w:rPr>
          <w:rFonts w:eastAsia="Times New Roman"/>
          <w:iCs/>
          <w:color w:val="auto"/>
        </w:rPr>
      </w:pPr>
      <w:r w:rsidRPr="000750E1">
        <w:rPr>
          <w:rFonts w:eastAsia="Times New Roman"/>
          <w:iCs/>
          <w:color w:val="auto"/>
        </w:rPr>
        <w:t xml:space="preserve">*kappa value for bone marrow lesions, erosion, and osteophytes were determined using weighted kappa. </w:t>
      </w:r>
    </w:p>
    <w:p w14:paraId="2BDE9A3C" w14:textId="77777777" w:rsidR="000750E1" w:rsidRPr="000750E1" w:rsidRDefault="000750E1" w:rsidP="000750E1">
      <w:pPr>
        <w:keepNext/>
        <w:spacing w:line="240" w:lineRule="auto"/>
        <w:rPr>
          <w:rFonts w:eastAsia="Times New Roman"/>
          <w:iCs/>
          <w:color w:val="auto"/>
          <w:u w:val="single"/>
          <w:lang w:val="en-AU"/>
        </w:rPr>
      </w:pPr>
    </w:p>
    <w:p w14:paraId="15CFB542" w14:textId="77777777" w:rsidR="000750E1" w:rsidRPr="000750E1" w:rsidRDefault="000750E1" w:rsidP="000750E1">
      <w:pPr>
        <w:spacing w:line="240" w:lineRule="auto"/>
        <w:rPr>
          <w:rFonts w:eastAsia="Times New Roman"/>
          <w:color w:val="auto"/>
          <w:lang w:val="en-AU"/>
        </w:rPr>
      </w:pPr>
    </w:p>
    <w:p w14:paraId="5C696710" w14:textId="02075BDE" w:rsidR="000750E1" w:rsidRPr="000750E1" w:rsidRDefault="000750E1" w:rsidP="000750E1">
      <w:pPr>
        <w:keepNext/>
        <w:spacing w:line="240" w:lineRule="auto"/>
        <w:rPr>
          <w:rFonts w:eastAsia="Times New Roman"/>
          <w:iCs/>
          <w:color w:val="auto"/>
          <w:lang w:val="en-AU"/>
        </w:rPr>
      </w:pPr>
      <w:r w:rsidRPr="000750E1">
        <w:rPr>
          <w:rFonts w:eastAsia="Times New Roman"/>
          <w:iCs/>
          <w:color w:val="auto"/>
          <w:lang w:val="en-AU"/>
        </w:rPr>
        <w:t>Table 2. Associations of MRI/X-ray abnormalities at the index finger joints and categorical total AUSCAN scores.</w:t>
      </w:r>
    </w:p>
    <w:tbl>
      <w:tblPr>
        <w:tblStyle w:val="TableGrid"/>
        <w:tblW w:w="6947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1842"/>
        <w:gridCol w:w="2127"/>
      </w:tblGrid>
      <w:tr w:rsidR="000750E1" w:rsidRPr="000750E1" w14:paraId="4C13AD68" w14:textId="77777777" w:rsidTr="006D250D">
        <w:trPr>
          <w:trHeight w:val="239"/>
        </w:trPr>
        <w:tc>
          <w:tcPr>
            <w:tcW w:w="2978" w:type="dxa"/>
            <w:tcBorders>
              <w:bottom w:val="nil"/>
            </w:tcBorders>
            <w:noWrap/>
          </w:tcPr>
          <w:p w14:paraId="52A3B298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</w:p>
        </w:tc>
        <w:tc>
          <w:tcPr>
            <w:tcW w:w="3969" w:type="dxa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14:paraId="6D074CA1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Total AUSCAN score</w:t>
            </w:r>
          </w:p>
        </w:tc>
      </w:tr>
      <w:tr w:rsidR="000750E1" w:rsidRPr="000750E1" w14:paraId="6C9A3523" w14:textId="77777777" w:rsidTr="006D250D">
        <w:trPr>
          <w:trHeight w:val="797"/>
        </w:trPr>
        <w:tc>
          <w:tcPr>
            <w:tcW w:w="2978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9F03E6F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Adjusted for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097DF07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age and sex</w:t>
            </w:r>
          </w:p>
          <w:p w14:paraId="5D53B395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 w:eastAsia="en-AU"/>
              </w:rPr>
              <w:t>OR (95% CI)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F1D4321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+ all other MRI/X-ray abnormalities</w:t>
            </w:r>
          </w:p>
          <w:p w14:paraId="50A532C9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 w:eastAsia="en-AU"/>
              </w:rPr>
              <w:t>OR (95% CI)</w:t>
            </w:r>
          </w:p>
        </w:tc>
      </w:tr>
      <w:tr w:rsidR="000750E1" w:rsidRPr="000750E1" w14:paraId="1081FB31" w14:textId="77777777" w:rsidTr="006D250D">
        <w:trPr>
          <w:trHeight w:val="51"/>
        </w:trPr>
        <w:tc>
          <w:tcPr>
            <w:tcW w:w="4820" w:type="dxa"/>
            <w:gridSpan w:val="2"/>
            <w:tcBorders>
              <w:top w:val="single" w:sz="12" w:space="0" w:color="auto"/>
            </w:tcBorders>
            <w:noWrap/>
          </w:tcPr>
          <w:p w14:paraId="72F58409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i/>
                <w:color w:val="auto"/>
                <w:lang w:val="en-AU"/>
              </w:rPr>
              <w:t>MRI abnormalities…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noWrap/>
          </w:tcPr>
          <w:p w14:paraId="4FD74514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</w:p>
        </w:tc>
      </w:tr>
      <w:tr w:rsidR="000750E1" w:rsidRPr="000750E1" w14:paraId="1FB51BE0" w14:textId="77777777" w:rsidTr="006D250D">
        <w:trPr>
          <w:trHeight w:val="81"/>
        </w:trPr>
        <w:tc>
          <w:tcPr>
            <w:tcW w:w="2978" w:type="dxa"/>
            <w:noWrap/>
            <w:hideMark/>
          </w:tcPr>
          <w:p w14:paraId="658E41FE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Effusion </w:t>
            </w:r>
          </w:p>
        </w:tc>
        <w:tc>
          <w:tcPr>
            <w:tcW w:w="1842" w:type="dxa"/>
            <w:noWrap/>
            <w:hideMark/>
          </w:tcPr>
          <w:p w14:paraId="1D869A26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0.52 (0.26, 1.05)</w:t>
            </w:r>
          </w:p>
        </w:tc>
        <w:tc>
          <w:tcPr>
            <w:tcW w:w="2127" w:type="dxa"/>
            <w:noWrap/>
            <w:hideMark/>
          </w:tcPr>
          <w:p w14:paraId="4FD4545C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0.53 (0.26, 1.05)</w:t>
            </w:r>
          </w:p>
        </w:tc>
      </w:tr>
      <w:tr w:rsidR="000750E1" w:rsidRPr="000750E1" w14:paraId="48658850" w14:textId="77777777" w:rsidTr="006D250D">
        <w:trPr>
          <w:trHeight w:val="138"/>
        </w:trPr>
        <w:tc>
          <w:tcPr>
            <w:tcW w:w="2978" w:type="dxa"/>
            <w:noWrap/>
            <w:hideMark/>
          </w:tcPr>
          <w:p w14:paraId="01FB1AAC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Absence of CL</w:t>
            </w:r>
          </w:p>
        </w:tc>
        <w:tc>
          <w:tcPr>
            <w:tcW w:w="1842" w:type="dxa"/>
            <w:noWrap/>
            <w:hideMark/>
          </w:tcPr>
          <w:p w14:paraId="193AF81A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2.39 (0.81, 7.10)</w:t>
            </w:r>
          </w:p>
        </w:tc>
        <w:tc>
          <w:tcPr>
            <w:tcW w:w="2127" w:type="dxa"/>
            <w:noWrap/>
            <w:hideMark/>
          </w:tcPr>
          <w:p w14:paraId="064CB918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2.39 (0.80, 7.12)</w:t>
            </w:r>
          </w:p>
        </w:tc>
      </w:tr>
      <w:tr w:rsidR="000750E1" w:rsidRPr="000750E1" w14:paraId="771DD292" w14:textId="77777777" w:rsidTr="006D250D">
        <w:trPr>
          <w:trHeight w:val="81"/>
        </w:trPr>
        <w:tc>
          <w:tcPr>
            <w:tcW w:w="2978" w:type="dxa"/>
            <w:noWrap/>
            <w:hideMark/>
          </w:tcPr>
          <w:p w14:paraId="7A2B408C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BML </w:t>
            </w:r>
          </w:p>
        </w:tc>
        <w:tc>
          <w:tcPr>
            <w:tcW w:w="1842" w:type="dxa"/>
            <w:noWrap/>
            <w:hideMark/>
          </w:tcPr>
          <w:p w14:paraId="685832BE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1.00 (0.67, 1.54)</w:t>
            </w:r>
          </w:p>
        </w:tc>
        <w:tc>
          <w:tcPr>
            <w:tcW w:w="2127" w:type="dxa"/>
            <w:noWrap/>
            <w:hideMark/>
          </w:tcPr>
          <w:p w14:paraId="1A9F94D8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1.04 (0.62, 1.75)</w:t>
            </w:r>
          </w:p>
        </w:tc>
      </w:tr>
      <w:tr w:rsidR="000750E1" w:rsidRPr="000750E1" w14:paraId="0C04E58F" w14:textId="77777777" w:rsidTr="006D250D">
        <w:trPr>
          <w:trHeight w:val="81"/>
        </w:trPr>
        <w:tc>
          <w:tcPr>
            <w:tcW w:w="2978" w:type="dxa"/>
            <w:noWrap/>
            <w:hideMark/>
          </w:tcPr>
          <w:p w14:paraId="4E241C68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Erosion </w:t>
            </w:r>
          </w:p>
        </w:tc>
        <w:tc>
          <w:tcPr>
            <w:tcW w:w="1842" w:type="dxa"/>
            <w:noWrap/>
            <w:hideMark/>
          </w:tcPr>
          <w:p w14:paraId="5A6294E0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0.86 (0.57, 1.30)</w:t>
            </w:r>
          </w:p>
        </w:tc>
        <w:tc>
          <w:tcPr>
            <w:tcW w:w="2127" w:type="dxa"/>
            <w:noWrap/>
            <w:hideMark/>
          </w:tcPr>
          <w:p w14:paraId="12F64013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0.72 (0.42, 1.21)</w:t>
            </w:r>
          </w:p>
        </w:tc>
      </w:tr>
      <w:tr w:rsidR="000750E1" w:rsidRPr="000750E1" w14:paraId="6634DCDF" w14:textId="77777777" w:rsidTr="006D250D">
        <w:trPr>
          <w:trHeight w:val="81"/>
        </w:trPr>
        <w:tc>
          <w:tcPr>
            <w:tcW w:w="2978" w:type="dxa"/>
            <w:noWrap/>
            <w:hideMark/>
          </w:tcPr>
          <w:p w14:paraId="32E74B75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Osteophytes </w:t>
            </w:r>
          </w:p>
        </w:tc>
        <w:tc>
          <w:tcPr>
            <w:tcW w:w="1842" w:type="dxa"/>
            <w:noWrap/>
            <w:hideMark/>
          </w:tcPr>
          <w:p w14:paraId="6E469D4B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1.33 (0.84, 2.13)</w:t>
            </w:r>
          </w:p>
        </w:tc>
        <w:tc>
          <w:tcPr>
            <w:tcW w:w="2127" w:type="dxa"/>
            <w:noWrap/>
            <w:hideMark/>
          </w:tcPr>
          <w:p w14:paraId="260D45A0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1.34 (0.80, 2.26)</w:t>
            </w:r>
          </w:p>
        </w:tc>
      </w:tr>
      <w:tr w:rsidR="000750E1" w:rsidRPr="000750E1" w14:paraId="5027C17F" w14:textId="77777777" w:rsidTr="006D250D">
        <w:trPr>
          <w:trHeight w:val="210"/>
        </w:trPr>
        <w:tc>
          <w:tcPr>
            <w:tcW w:w="2978" w:type="dxa"/>
            <w:noWrap/>
          </w:tcPr>
          <w:p w14:paraId="150A375F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No. of MRI abnormalities</w:t>
            </w:r>
          </w:p>
        </w:tc>
        <w:tc>
          <w:tcPr>
            <w:tcW w:w="1842" w:type="dxa"/>
            <w:noWrap/>
          </w:tcPr>
          <w:p w14:paraId="43FB019E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0.81 (0.55, 1.21)</w:t>
            </w:r>
          </w:p>
        </w:tc>
        <w:tc>
          <w:tcPr>
            <w:tcW w:w="2127" w:type="dxa"/>
            <w:noWrap/>
          </w:tcPr>
          <w:p w14:paraId="0F79D687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>-</w:t>
            </w:r>
          </w:p>
        </w:tc>
      </w:tr>
      <w:tr w:rsidR="000750E1" w:rsidRPr="000750E1" w14:paraId="6ED23AF8" w14:textId="77777777" w:rsidTr="006D250D">
        <w:trPr>
          <w:trHeight w:val="85"/>
        </w:trPr>
        <w:tc>
          <w:tcPr>
            <w:tcW w:w="4820" w:type="dxa"/>
            <w:gridSpan w:val="2"/>
            <w:noWrap/>
          </w:tcPr>
          <w:p w14:paraId="203717C7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i/>
                <w:color w:val="auto"/>
                <w:lang w:val="en-AU"/>
              </w:rPr>
              <w:t xml:space="preserve">X-ray abnormalities… </w:t>
            </w:r>
          </w:p>
        </w:tc>
        <w:tc>
          <w:tcPr>
            <w:tcW w:w="2127" w:type="dxa"/>
            <w:noWrap/>
          </w:tcPr>
          <w:p w14:paraId="7C9803AF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</w:p>
        </w:tc>
      </w:tr>
      <w:tr w:rsidR="000750E1" w:rsidRPr="000750E1" w14:paraId="4259EBD3" w14:textId="77777777" w:rsidTr="006D250D">
        <w:trPr>
          <w:trHeight w:val="104"/>
        </w:trPr>
        <w:tc>
          <w:tcPr>
            <w:tcW w:w="2978" w:type="dxa"/>
            <w:noWrap/>
          </w:tcPr>
          <w:p w14:paraId="122D399A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Osteophytes</w:t>
            </w:r>
          </w:p>
        </w:tc>
        <w:tc>
          <w:tcPr>
            <w:tcW w:w="1842" w:type="dxa"/>
            <w:noWrap/>
          </w:tcPr>
          <w:p w14:paraId="6C078602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000000"/>
                <w:lang w:val="en-AU"/>
              </w:rPr>
              <w:t>0.98 (0.62, 1.54)</w:t>
            </w:r>
          </w:p>
        </w:tc>
        <w:tc>
          <w:tcPr>
            <w:tcW w:w="2127" w:type="dxa"/>
            <w:noWrap/>
          </w:tcPr>
          <w:p w14:paraId="77ACFC59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000000"/>
                <w:lang w:val="en-AU"/>
              </w:rPr>
              <w:t>0.84 (0.51, 1.39)</w:t>
            </w:r>
          </w:p>
        </w:tc>
      </w:tr>
      <w:tr w:rsidR="000750E1" w:rsidRPr="000750E1" w14:paraId="1CB00182" w14:textId="77777777" w:rsidTr="006D250D">
        <w:trPr>
          <w:trHeight w:val="263"/>
        </w:trPr>
        <w:tc>
          <w:tcPr>
            <w:tcW w:w="2978" w:type="dxa"/>
            <w:noWrap/>
          </w:tcPr>
          <w:p w14:paraId="0EB8E37C" w14:textId="77777777" w:rsidR="000750E1" w:rsidRPr="000750E1" w:rsidRDefault="000750E1" w:rsidP="006D250D">
            <w:pPr>
              <w:spacing w:line="240" w:lineRule="auto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color w:val="auto"/>
                <w:lang w:val="en-AU"/>
              </w:rPr>
              <w:t xml:space="preserve">   JSN </w:t>
            </w:r>
          </w:p>
        </w:tc>
        <w:tc>
          <w:tcPr>
            <w:tcW w:w="1842" w:type="dxa"/>
            <w:noWrap/>
          </w:tcPr>
          <w:p w14:paraId="65FBB9C0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b/>
                <w:bCs/>
                <w:color w:val="000000"/>
                <w:lang w:val="en-AU"/>
              </w:rPr>
              <w:t>1.68 (1.06, 2.65)</w:t>
            </w:r>
          </w:p>
        </w:tc>
        <w:tc>
          <w:tcPr>
            <w:tcW w:w="2127" w:type="dxa"/>
            <w:noWrap/>
          </w:tcPr>
          <w:p w14:paraId="0511F350" w14:textId="77777777" w:rsidR="000750E1" w:rsidRPr="000750E1" w:rsidRDefault="000750E1" w:rsidP="006D250D">
            <w:pPr>
              <w:spacing w:line="240" w:lineRule="auto"/>
              <w:jc w:val="center"/>
              <w:rPr>
                <w:rFonts w:eastAsia="Times New Roman"/>
                <w:color w:val="auto"/>
                <w:lang w:val="en-AU"/>
              </w:rPr>
            </w:pPr>
            <w:r w:rsidRPr="000750E1">
              <w:rPr>
                <w:rFonts w:eastAsia="Times New Roman"/>
                <w:b/>
                <w:bCs/>
                <w:color w:val="000000"/>
                <w:lang w:val="en-AU"/>
              </w:rPr>
              <w:t>1.75 (1.09, 2.82)</w:t>
            </w:r>
          </w:p>
        </w:tc>
      </w:tr>
    </w:tbl>
    <w:p w14:paraId="2736899B" w14:textId="77777777" w:rsidR="000750E1" w:rsidRPr="000750E1" w:rsidRDefault="000750E1" w:rsidP="000750E1">
      <w:pPr>
        <w:pStyle w:val="Footer"/>
        <w:rPr>
          <w:sz w:val="24"/>
          <w:szCs w:val="24"/>
        </w:rPr>
      </w:pPr>
      <w:r w:rsidRPr="000750E1">
        <w:rPr>
          <w:sz w:val="24"/>
          <w:szCs w:val="24"/>
        </w:rPr>
        <w:t xml:space="preserve">Associations were assessed using ordinal logistic regression treated with inverse probability weighting. </w:t>
      </w:r>
    </w:p>
    <w:p w14:paraId="7249CDAE" w14:textId="77777777" w:rsidR="000750E1" w:rsidRPr="000750E1" w:rsidRDefault="000750E1" w:rsidP="000750E1">
      <w:pPr>
        <w:pStyle w:val="Footer"/>
        <w:rPr>
          <w:sz w:val="24"/>
          <w:szCs w:val="24"/>
        </w:rPr>
      </w:pPr>
      <w:r w:rsidRPr="000750E1">
        <w:rPr>
          <w:sz w:val="24"/>
          <w:szCs w:val="24"/>
        </w:rPr>
        <w:t>Total AUSCAN score was categorised at none, below, and above median.</w:t>
      </w:r>
      <w:r w:rsidRPr="000750E1">
        <w:rPr>
          <w:color w:val="000000"/>
          <w:sz w:val="24"/>
          <w:szCs w:val="24"/>
        </w:rPr>
        <w:t xml:space="preserve"> </w:t>
      </w:r>
    </w:p>
    <w:p w14:paraId="14648C44" w14:textId="77777777" w:rsidR="000750E1" w:rsidRPr="000750E1" w:rsidRDefault="000750E1" w:rsidP="000750E1">
      <w:pPr>
        <w:pStyle w:val="Footer"/>
        <w:rPr>
          <w:sz w:val="24"/>
          <w:szCs w:val="24"/>
        </w:rPr>
      </w:pPr>
      <w:r w:rsidRPr="000750E1">
        <w:rPr>
          <w:sz w:val="24"/>
          <w:szCs w:val="24"/>
        </w:rPr>
        <w:t xml:space="preserve">No. of MRI abnormalities were dichotomised at the median (3). </w:t>
      </w:r>
    </w:p>
    <w:p w14:paraId="7065D083" w14:textId="77777777" w:rsidR="000750E1" w:rsidRPr="000750E1" w:rsidRDefault="000750E1" w:rsidP="000750E1">
      <w:pPr>
        <w:pStyle w:val="Footer"/>
        <w:rPr>
          <w:sz w:val="24"/>
          <w:szCs w:val="24"/>
        </w:rPr>
      </w:pPr>
      <w:r w:rsidRPr="000750E1">
        <w:rPr>
          <w:sz w:val="24"/>
          <w:szCs w:val="24"/>
        </w:rPr>
        <w:t>AUSCAN, Australian/Canadian hand osteoarthritis index; OR, odds ratio; CI, confidence interval; MRI, magnetic resonance imaging; RR, relative risk; CI, confidence interval; CL, collateral ligament; BML, bone marrow lesions; JSN, joint space narrowing.</w:t>
      </w:r>
    </w:p>
    <w:p w14:paraId="0CFD1A31" w14:textId="77777777" w:rsidR="000750E1" w:rsidRPr="000750E1" w:rsidRDefault="000750E1" w:rsidP="000750E1">
      <w:pPr>
        <w:pStyle w:val="Footer"/>
        <w:rPr>
          <w:sz w:val="24"/>
          <w:szCs w:val="24"/>
        </w:rPr>
      </w:pPr>
      <w:r w:rsidRPr="000750E1">
        <w:rPr>
          <w:b/>
          <w:sz w:val="24"/>
          <w:szCs w:val="24"/>
        </w:rPr>
        <w:t>Bold</w:t>
      </w:r>
      <w:r w:rsidRPr="000750E1">
        <w:rPr>
          <w:sz w:val="24"/>
          <w:szCs w:val="24"/>
        </w:rPr>
        <w:t xml:space="preserve"> denotes a statistically significant result.</w:t>
      </w:r>
    </w:p>
    <w:p w14:paraId="0C794D36" w14:textId="705C477E" w:rsidR="000036A6" w:rsidRPr="000750E1" w:rsidRDefault="000036A6" w:rsidP="000750E1">
      <w:pPr>
        <w:spacing w:line="240" w:lineRule="auto"/>
        <w:rPr>
          <w:lang w:val="en-AU"/>
        </w:rPr>
      </w:pPr>
    </w:p>
    <w:sectPr w:rsidR="000036A6" w:rsidRPr="000750E1" w:rsidSect="008A3AF6">
      <w:pgSz w:w="11907" w:h="16840" w:code="9"/>
      <w:pgMar w:top="1134" w:right="1418" w:bottom="1134" w:left="1418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0E1"/>
    <w:rsid w:val="00003360"/>
    <w:rsid w:val="000036A6"/>
    <w:rsid w:val="00010ED4"/>
    <w:rsid w:val="00017140"/>
    <w:rsid w:val="00020592"/>
    <w:rsid w:val="00025F63"/>
    <w:rsid w:val="000271C1"/>
    <w:rsid w:val="00031108"/>
    <w:rsid w:val="000311CF"/>
    <w:rsid w:val="00034793"/>
    <w:rsid w:val="000365BD"/>
    <w:rsid w:val="00052E29"/>
    <w:rsid w:val="0005639A"/>
    <w:rsid w:val="00063E34"/>
    <w:rsid w:val="000647D8"/>
    <w:rsid w:val="000750E1"/>
    <w:rsid w:val="00076871"/>
    <w:rsid w:val="00083F74"/>
    <w:rsid w:val="00085649"/>
    <w:rsid w:val="000866FE"/>
    <w:rsid w:val="00093899"/>
    <w:rsid w:val="00094634"/>
    <w:rsid w:val="00097560"/>
    <w:rsid w:val="000A054A"/>
    <w:rsid w:val="000A183A"/>
    <w:rsid w:val="000A76A4"/>
    <w:rsid w:val="000B1A47"/>
    <w:rsid w:val="000B210C"/>
    <w:rsid w:val="000B6401"/>
    <w:rsid w:val="000B66C5"/>
    <w:rsid w:val="000C0D3C"/>
    <w:rsid w:val="000D72EC"/>
    <w:rsid w:val="000E14D2"/>
    <w:rsid w:val="000E2382"/>
    <w:rsid w:val="000F58E1"/>
    <w:rsid w:val="000F5948"/>
    <w:rsid w:val="000F6FE0"/>
    <w:rsid w:val="0010200F"/>
    <w:rsid w:val="00104DEB"/>
    <w:rsid w:val="00105AF9"/>
    <w:rsid w:val="00105CC2"/>
    <w:rsid w:val="00110086"/>
    <w:rsid w:val="0011146B"/>
    <w:rsid w:val="00122C18"/>
    <w:rsid w:val="00123B0B"/>
    <w:rsid w:val="001421D3"/>
    <w:rsid w:val="0014436C"/>
    <w:rsid w:val="001461E0"/>
    <w:rsid w:val="001547A7"/>
    <w:rsid w:val="00156EBD"/>
    <w:rsid w:val="00176913"/>
    <w:rsid w:val="00177BAE"/>
    <w:rsid w:val="00177ED0"/>
    <w:rsid w:val="001836D8"/>
    <w:rsid w:val="001853BA"/>
    <w:rsid w:val="001A1BD4"/>
    <w:rsid w:val="001A4935"/>
    <w:rsid w:val="001B145F"/>
    <w:rsid w:val="001B3D23"/>
    <w:rsid w:val="001B4E37"/>
    <w:rsid w:val="001B54E2"/>
    <w:rsid w:val="001B785C"/>
    <w:rsid w:val="001C2928"/>
    <w:rsid w:val="001C6570"/>
    <w:rsid w:val="001C6FF0"/>
    <w:rsid w:val="001E09D1"/>
    <w:rsid w:val="001F2E29"/>
    <w:rsid w:val="001F5B41"/>
    <w:rsid w:val="002044DB"/>
    <w:rsid w:val="00206725"/>
    <w:rsid w:val="00206D71"/>
    <w:rsid w:val="00217537"/>
    <w:rsid w:val="00222224"/>
    <w:rsid w:val="00222E8B"/>
    <w:rsid w:val="00225AC6"/>
    <w:rsid w:val="00250B2A"/>
    <w:rsid w:val="00252628"/>
    <w:rsid w:val="002534BB"/>
    <w:rsid w:val="00260DB5"/>
    <w:rsid w:val="0028022B"/>
    <w:rsid w:val="00284BFE"/>
    <w:rsid w:val="0029090E"/>
    <w:rsid w:val="00290F07"/>
    <w:rsid w:val="002B2040"/>
    <w:rsid w:val="002B4241"/>
    <w:rsid w:val="002B7F1E"/>
    <w:rsid w:val="002C0607"/>
    <w:rsid w:val="002C1779"/>
    <w:rsid w:val="002C67B8"/>
    <w:rsid w:val="002D168E"/>
    <w:rsid w:val="002D50DC"/>
    <w:rsid w:val="002D5445"/>
    <w:rsid w:val="002E1F17"/>
    <w:rsid w:val="002E3C0B"/>
    <w:rsid w:val="002E7897"/>
    <w:rsid w:val="002F29D0"/>
    <w:rsid w:val="002F7337"/>
    <w:rsid w:val="003011A9"/>
    <w:rsid w:val="0030139F"/>
    <w:rsid w:val="00307884"/>
    <w:rsid w:val="00325B5A"/>
    <w:rsid w:val="003268E9"/>
    <w:rsid w:val="003377EA"/>
    <w:rsid w:val="0034020F"/>
    <w:rsid w:val="00340445"/>
    <w:rsid w:val="00342D1A"/>
    <w:rsid w:val="00347E31"/>
    <w:rsid w:val="00365051"/>
    <w:rsid w:val="003677BD"/>
    <w:rsid w:val="00381FAF"/>
    <w:rsid w:val="00382F89"/>
    <w:rsid w:val="00394A83"/>
    <w:rsid w:val="003A5F2F"/>
    <w:rsid w:val="003B641D"/>
    <w:rsid w:val="003D045D"/>
    <w:rsid w:val="003D2F64"/>
    <w:rsid w:val="003D3624"/>
    <w:rsid w:val="003D6E74"/>
    <w:rsid w:val="003D7753"/>
    <w:rsid w:val="003E32B7"/>
    <w:rsid w:val="003E724B"/>
    <w:rsid w:val="003F1547"/>
    <w:rsid w:val="003F1B9A"/>
    <w:rsid w:val="003F2A72"/>
    <w:rsid w:val="003F39B8"/>
    <w:rsid w:val="003F75C0"/>
    <w:rsid w:val="00402242"/>
    <w:rsid w:val="004036D5"/>
    <w:rsid w:val="0040781F"/>
    <w:rsid w:val="00412ECA"/>
    <w:rsid w:val="004174EA"/>
    <w:rsid w:val="00432873"/>
    <w:rsid w:val="004404C4"/>
    <w:rsid w:val="00450C2B"/>
    <w:rsid w:val="00455D4A"/>
    <w:rsid w:val="00481DB1"/>
    <w:rsid w:val="00485DD3"/>
    <w:rsid w:val="004A42BB"/>
    <w:rsid w:val="004A478A"/>
    <w:rsid w:val="004B2281"/>
    <w:rsid w:val="004B2480"/>
    <w:rsid w:val="004C3E28"/>
    <w:rsid w:val="004D0429"/>
    <w:rsid w:val="004D047E"/>
    <w:rsid w:val="004D0AB6"/>
    <w:rsid w:val="004E0F8A"/>
    <w:rsid w:val="004E41B2"/>
    <w:rsid w:val="004E441B"/>
    <w:rsid w:val="004E7213"/>
    <w:rsid w:val="004E7E33"/>
    <w:rsid w:val="004F698D"/>
    <w:rsid w:val="00502A47"/>
    <w:rsid w:val="00506EE2"/>
    <w:rsid w:val="00513AA3"/>
    <w:rsid w:val="00516DE9"/>
    <w:rsid w:val="00531DD1"/>
    <w:rsid w:val="00535506"/>
    <w:rsid w:val="00542969"/>
    <w:rsid w:val="0054412A"/>
    <w:rsid w:val="00545FE6"/>
    <w:rsid w:val="005507BD"/>
    <w:rsid w:val="00552040"/>
    <w:rsid w:val="00573712"/>
    <w:rsid w:val="00574EE7"/>
    <w:rsid w:val="005754C2"/>
    <w:rsid w:val="0057740F"/>
    <w:rsid w:val="00583D0F"/>
    <w:rsid w:val="00586594"/>
    <w:rsid w:val="005917D3"/>
    <w:rsid w:val="00592682"/>
    <w:rsid w:val="005A01EE"/>
    <w:rsid w:val="005A45B9"/>
    <w:rsid w:val="005B3D57"/>
    <w:rsid w:val="005B5A7E"/>
    <w:rsid w:val="005C5FDD"/>
    <w:rsid w:val="005E49FF"/>
    <w:rsid w:val="005E5F1F"/>
    <w:rsid w:val="005E7F6A"/>
    <w:rsid w:val="005F7282"/>
    <w:rsid w:val="0061272C"/>
    <w:rsid w:val="00624BA9"/>
    <w:rsid w:val="006262C2"/>
    <w:rsid w:val="006374D1"/>
    <w:rsid w:val="00637C5C"/>
    <w:rsid w:val="00640775"/>
    <w:rsid w:val="00640F52"/>
    <w:rsid w:val="0064472E"/>
    <w:rsid w:val="00674C25"/>
    <w:rsid w:val="00682A85"/>
    <w:rsid w:val="0068355F"/>
    <w:rsid w:val="006B591D"/>
    <w:rsid w:val="006B5B93"/>
    <w:rsid w:val="006B6A31"/>
    <w:rsid w:val="006D1FCA"/>
    <w:rsid w:val="006D459C"/>
    <w:rsid w:val="007030BE"/>
    <w:rsid w:val="00707E8C"/>
    <w:rsid w:val="00717F9D"/>
    <w:rsid w:val="00724A49"/>
    <w:rsid w:val="007349D7"/>
    <w:rsid w:val="00752054"/>
    <w:rsid w:val="00754D00"/>
    <w:rsid w:val="00757457"/>
    <w:rsid w:val="007622D6"/>
    <w:rsid w:val="0076331A"/>
    <w:rsid w:val="007651C3"/>
    <w:rsid w:val="00765495"/>
    <w:rsid w:val="00765BDF"/>
    <w:rsid w:val="00765CB4"/>
    <w:rsid w:val="00766FC0"/>
    <w:rsid w:val="00772ADB"/>
    <w:rsid w:val="00772BF8"/>
    <w:rsid w:val="00781DFE"/>
    <w:rsid w:val="00781F37"/>
    <w:rsid w:val="007956D3"/>
    <w:rsid w:val="00796783"/>
    <w:rsid w:val="00796E5C"/>
    <w:rsid w:val="007A1514"/>
    <w:rsid w:val="007A21A3"/>
    <w:rsid w:val="007A3ADF"/>
    <w:rsid w:val="007A515F"/>
    <w:rsid w:val="007A75F8"/>
    <w:rsid w:val="007B0437"/>
    <w:rsid w:val="007D305D"/>
    <w:rsid w:val="007E76AA"/>
    <w:rsid w:val="007E7D52"/>
    <w:rsid w:val="007F0432"/>
    <w:rsid w:val="007F4546"/>
    <w:rsid w:val="00800E90"/>
    <w:rsid w:val="0080614B"/>
    <w:rsid w:val="00806785"/>
    <w:rsid w:val="00815320"/>
    <w:rsid w:val="00821917"/>
    <w:rsid w:val="008234F2"/>
    <w:rsid w:val="0082496C"/>
    <w:rsid w:val="00824E4D"/>
    <w:rsid w:val="008279B2"/>
    <w:rsid w:val="008410FC"/>
    <w:rsid w:val="008428E9"/>
    <w:rsid w:val="00843744"/>
    <w:rsid w:val="008440CE"/>
    <w:rsid w:val="0084470D"/>
    <w:rsid w:val="00852000"/>
    <w:rsid w:val="00855E5F"/>
    <w:rsid w:val="00861A8D"/>
    <w:rsid w:val="00863B5A"/>
    <w:rsid w:val="00865E15"/>
    <w:rsid w:val="008674B8"/>
    <w:rsid w:val="00867ECD"/>
    <w:rsid w:val="0087103D"/>
    <w:rsid w:val="00883571"/>
    <w:rsid w:val="00890EF1"/>
    <w:rsid w:val="0089583B"/>
    <w:rsid w:val="008A3AF6"/>
    <w:rsid w:val="008A5FA8"/>
    <w:rsid w:val="008A6CED"/>
    <w:rsid w:val="008B10B5"/>
    <w:rsid w:val="008C041B"/>
    <w:rsid w:val="008C1941"/>
    <w:rsid w:val="008C1DB1"/>
    <w:rsid w:val="008C6C9E"/>
    <w:rsid w:val="008C7D7D"/>
    <w:rsid w:val="008D2B40"/>
    <w:rsid w:val="008E7045"/>
    <w:rsid w:val="008F37D0"/>
    <w:rsid w:val="008F53D1"/>
    <w:rsid w:val="008F7490"/>
    <w:rsid w:val="0090101C"/>
    <w:rsid w:val="00902C66"/>
    <w:rsid w:val="009063CD"/>
    <w:rsid w:val="00911C20"/>
    <w:rsid w:val="00914EEB"/>
    <w:rsid w:val="00921A4E"/>
    <w:rsid w:val="0093298D"/>
    <w:rsid w:val="00932992"/>
    <w:rsid w:val="00933E1D"/>
    <w:rsid w:val="00942413"/>
    <w:rsid w:val="009616DF"/>
    <w:rsid w:val="0096456C"/>
    <w:rsid w:val="00966B22"/>
    <w:rsid w:val="00980693"/>
    <w:rsid w:val="00984059"/>
    <w:rsid w:val="00985233"/>
    <w:rsid w:val="00987C0B"/>
    <w:rsid w:val="0099303C"/>
    <w:rsid w:val="009B5051"/>
    <w:rsid w:val="009C0F78"/>
    <w:rsid w:val="009C5B95"/>
    <w:rsid w:val="009C6261"/>
    <w:rsid w:val="009C77A0"/>
    <w:rsid w:val="009D1DEB"/>
    <w:rsid w:val="009D584A"/>
    <w:rsid w:val="009E2090"/>
    <w:rsid w:val="009E287D"/>
    <w:rsid w:val="009E3BA8"/>
    <w:rsid w:val="009F1B69"/>
    <w:rsid w:val="009F4244"/>
    <w:rsid w:val="00A01D41"/>
    <w:rsid w:val="00A0264A"/>
    <w:rsid w:val="00A1611C"/>
    <w:rsid w:val="00A20033"/>
    <w:rsid w:val="00A21ABF"/>
    <w:rsid w:val="00A3077B"/>
    <w:rsid w:val="00A326CC"/>
    <w:rsid w:val="00A37B40"/>
    <w:rsid w:val="00A4052A"/>
    <w:rsid w:val="00A43BD6"/>
    <w:rsid w:val="00A51373"/>
    <w:rsid w:val="00A61A66"/>
    <w:rsid w:val="00A65A1A"/>
    <w:rsid w:val="00A70E4A"/>
    <w:rsid w:val="00A7244B"/>
    <w:rsid w:val="00A81F35"/>
    <w:rsid w:val="00A85AAF"/>
    <w:rsid w:val="00A902E0"/>
    <w:rsid w:val="00A92E3D"/>
    <w:rsid w:val="00AA0ABA"/>
    <w:rsid w:val="00AA1E92"/>
    <w:rsid w:val="00AB1127"/>
    <w:rsid w:val="00AB6178"/>
    <w:rsid w:val="00AC67FB"/>
    <w:rsid w:val="00AD495C"/>
    <w:rsid w:val="00AE09B1"/>
    <w:rsid w:val="00AE0CBA"/>
    <w:rsid w:val="00AE1BB5"/>
    <w:rsid w:val="00AE3A1D"/>
    <w:rsid w:val="00B016B8"/>
    <w:rsid w:val="00B07160"/>
    <w:rsid w:val="00B11FA8"/>
    <w:rsid w:val="00B2641F"/>
    <w:rsid w:val="00B4070F"/>
    <w:rsid w:val="00B417D1"/>
    <w:rsid w:val="00B571F6"/>
    <w:rsid w:val="00B6336F"/>
    <w:rsid w:val="00B657BC"/>
    <w:rsid w:val="00B66828"/>
    <w:rsid w:val="00B706E0"/>
    <w:rsid w:val="00B767DA"/>
    <w:rsid w:val="00B86C34"/>
    <w:rsid w:val="00B9169D"/>
    <w:rsid w:val="00B9196C"/>
    <w:rsid w:val="00B97314"/>
    <w:rsid w:val="00BA1434"/>
    <w:rsid w:val="00BA2A8A"/>
    <w:rsid w:val="00BA61E4"/>
    <w:rsid w:val="00BB2923"/>
    <w:rsid w:val="00BB355C"/>
    <w:rsid w:val="00BC4604"/>
    <w:rsid w:val="00BD42C2"/>
    <w:rsid w:val="00BE71FC"/>
    <w:rsid w:val="00BF072E"/>
    <w:rsid w:val="00BF203B"/>
    <w:rsid w:val="00C0170E"/>
    <w:rsid w:val="00C05DD7"/>
    <w:rsid w:val="00C0732B"/>
    <w:rsid w:val="00C075EE"/>
    <w:rsid w:val="00C11A87"/>
    <w:rsid w:val="00C1236C"/>
    <w:rsid w:val="00C12E63"/>
    <w:rsid w:val="00C15AFC"/>
    <w:rsid w:val="00C164F8"/>
    <w:rsid w:val="00C17AF0"/>
    <w:rsid w:val="00C30778"/>
    <w:rsid w:val="00C32C39"/>
    <w:rsid w:val="00C33444"/>
    <w:rsid w:val="00C440E1"/>
    <w:rsid w:val="00C44930"/>
    <w:rsid w:val="00C46D66"/>
    <w:rsid w:val="00C470C7"/>
    <w:rsid w:val="00C4732A"/>
    <w:rsid w:val="00C5034C"/>
    <w:rsid w:val="00C54A53"/>
    <w:rsid w:val="00C6616E"/>
    <w:rsid w:val="00C76973"/>
    <w:rsid w:val="00C86BD6"/>
    <w:rsid w:val="00C92ED3"/>
    <w:rsid w:val="00C94DBA"/>
    <w:rsid w:val="00CA5597"/>
    <w:rsid w:val="00CB6D08"/>
    <w:rsid w:val="00CC48A8"/>
    <w:rsid w:val="00CC6CCF"/>
    <w:rsid w:val="00CD2DD4"/>
    <w:rsid w:val="00CE29E1"/>
    <w:rsid w:val="00CE3FDB"/>
    <w:rsid w:val="00CE5A58"/>
    <w:rsid w:val="00CF6A06"/>
    <w:rsid w:val="00D067D3"/>
    <w:rsid w:val="00D07557"/>
    <w:rsid w:val="00D16BFE"/>
    <w:rsid w:val="00D22250"/>
    <w:rsid w:val="00D22B33"/>
    <w:rsid w:val="00D2532D"/>
    <w:rsid w:val="00D255FE"/>
    <w:rsid w:val="00D269A9"/>
    <w:rsid w:val="00D365B8"/>
    <w:rsid w:val="00D502F9"/>
    <w:rsid w:val="00D535AF"/>
    <w:rsid w:val="00D57507"/>
    <w:rsid w:val="00D61709"/>
    <w:rsid w:val="00D640E9"/>
    <w:rsid w:val="00D6542E"/>
    <w:rsid w:val="00D74C5F"/>
    <w:rsid w:val="00D85F4C"/>
    <w:rsid w:val="00D94AE9"/>
    <w:rsid w:val="00DA3DD4"/>
    <w:rsid w:val="00DC6DD5"/>
    <w:rsid w:val="00DC747F"/>
    <w:rsid w:val="00DC7E33"/>
    <w:rsid w:val="00DD0846"/>
    <w:rsid w:val="00DD39B2"/>
    <w:rsid w:val="00DE3132"/>
    <w:rsid w:val="00DE4249"/>
    <w:rsid w:val="00DF094B"/>
    <w:rsid w:val="00E01263"/>
    <w:rsid w:val="00E0258B"/>
    <w:rsid w:val="00E03292"/>
    <w:rsid w:val="00E10C47"/>
    <w:rsid w:val="00E11D9C"/>
    <w:rsid w:val="00E13C46"/>
    <w:rsid w:val="00E222FB"/>
    <w:rsid w:val="00E26E05"/>
    <w:rsid w:val="00E302E9"/>
    <w:rsid w:val="00E31852"/>
    <w:rsid w:val="00E365AF"/>
    <w:rsid w:val="00E43836"/>
    <w:rsid w:val="00E441F0"/>
    <w:rsid w:val="00E475DE"/>
    <w:rsid w:val="00E55C96"/>
    <w:rsid w:val="00E77202"/>
    <w:rsid w:val="00E814BC"/>
    <w:rsid w:val="00E84941"/>
    <w:rsid w:val="00E8713C"/>
    <w:rsid w:val="00E904E8"/>
    <w:rsid w:val="00E95C36"/>
    <w:rsid w:val="00E96E4E"/>
    <w:rsid w:val="00EA29C5"/>
    <w:rsid w:val="00EA7A84"/>
    <w:rsid w:val="00EC169D"/>
    <w:rsid w:val="00ED214A"/>
    <w:rsid w:val="00EE2A40"/>
    <w:rsid w:val="00EE49A2"/>
    <w:rsid w:val="00EE4CF0"/>
    <w:rsid w:val="00EE62A0"/>
    <w:rsid w:val="00EF7765"/>
    <w:rsid w:val="00F0542E"/>
    <w:rsid w:val="00F1105C"/>
    <w:rsid w:val="00F17800"/>
    <w:rsid w:val="00F24C82"/>
    <w:rsid w:val="00F26EC9"/>
    <w:rsid w:val="00F31FFA"/>
    <w:rsid w:val="00F41722"/>
    <w:rsid w:val="00F429FB"/>
    <w:rsid w:val="00F4339C"/>
    <w:rsid w:val="00F47D01"/>
    <w:rsid w:val="00F50EF0"/>
    <w:rsid w:val="00F55A5C"/>
    <w:rsid w:val="00F65BA2"/>
    <w:rsid w:val="00F65F13"/>
    <w:rsid w:val="00F71287"/>
    <w:rsid w:val="00F7399A"/>
    <w:rsid w:val="00F746CA"/>
    <w:rsid w:val="00F76ED8"/>
    <w:rsid w:val="00F80092"/>
    <w:rsid w:val="00F854E1"/>
    <w:rsid w:val="00F87BAA"/>
    <w:rsid w:val="00F94309"/>
    <w:rsid w:val="00FB29CA"/>
    <w:rsid w:val="00FC0B99"/>
    <w:rsid w:val="00FC372E"/>
    <w:rsid w:val="00FC40F8"/>
    <w:rsid w:val="00FC6BD6"/>
    <w:rsid w:val="00FD296D"/>
    <w:rsid w:val="00FD4CF1"/>
    <w:rsid w:val="00FD7AB6"/>
    <w:rsid w:val="00FE068F"/>
    <w:rsid w:val="00FE2197"/>
    <w:rsid w:val="00FE3E43"/>
    <w:rsid w:val="00FE5ECC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16070E"/>
  <w14:defaultImageDpi w14:val="32767"/>
  <w15:chartTrackingRefBased/>
  <w15:docId w15:val="{A81D445B-47EA-0741-AC95-AB317CF3C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750E1"/>
    <w:pPr>
      <w:spacing w:line="360" w:lineRule="auto"/>
    </w:pPr>
    <w:rPr>
      <w:rFonts w:ascii="Times New Roman" w:hAnsi="Times New Roman" w:cs="Times New Roman"/>
      <w:color w:val="13141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750E1"/>
    <w:pPr>
      <w:spacing w:line="240" w:lineRule="auto"/>
    </w:pPr>
    <w:rPr>
      <w:rFonts w:eastAsia="Times New Roman"/>
      <w:color w:val="auto"/>
      <w:sz w:val="22"/>
      <w:szCs w:val="22"/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0750E1"/>
    <w:rPr>
      <w:rFonts w:ascii="Times New Roman" w:eastAsia="Times New Roman" w:hAnsi="Times New Roman" w:cs="Times New Roman"/>
      <w:sz w:val="22"/>
      <w:szCs w:val="2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Siti Mattap</dc:creator>
  <cp:keywords/>
  <dc:description/>
  <cp:lastModifiedBy>Siti Mattap</cp:lastModifiedBy>
  <cp:revision>3</cp:revision>
  <dcterms:created xsi:type="dcterms:W3CDTF">2019-11-26T06:00:00Z</dcterms:created>
  <dcterms:modified xsi:type="dcterms:W3CDTF">2020-02-06T04:48:00Z</dcterms:modified>
</cp:coreProperties>
</file>